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6" w:rsidRDefault="005E0878" w:rsidP="005E0878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>أول متوسط الفصل الدراسي الأول مادة التربية الأسرية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TableGrid"/>
        <w:bidiVisual/>
        <w:tblW w:w="10632" w:type="dxa"/>
        <w:tblInd w:w="-1084" w:type="dxa"/>
        <w:tblLook w:val="04A0"/>
      </w:tblPr>
      <w:tblGrid>
        <w:gridCol w:w="2552"/>
        <w:gridCol w:w="8080"/>
      </w:tblGrid>
      <w:tr w:rsidR="005E0878" w:rsidRPr="005E0878" w:rsidTr="008D2F5A">
        <w:tc>
          <w:tcPr>
            <w:tcW w:w="2552" w:type="dxa"/>
            <w:shd w:val="clear" w:color="auto" w:fill="EAF1DD" w:themeFill="accent3" w:themeFillTint="33"/>
          </w:tcPr>
          <w:p w:rsidR="005E0878" w:rsidRPr="008D2F5A" w:rsidRDefault="005E0878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  <w:shd w:val="clear" w:color="auto" w:fill="EAF1DD" w:themeFill="accent3" w:themeFillTint="33"/>
          </w:tcPr>
          <w:p w:rsidR="005E0878" w:rsidRPr="008D2F5A" w:rsidRDefault="005E0878" w:rsidP="005E0878">
            <w:pPr>
              <w:ind w:right="-1134"/>
              <w:jc w:val="center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5E0878">
        <w:tc>
          <w:tcPr>
            <w:tcW w:w="2552" w:type="dxa"/>
          </w:tcPr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وحدة مهارات اجتماعية</w:t>
            </w:r>
          </w:p>
        </w:tc>
        <w:tc>
          <w:tcPr>
            <w:tcW w:w="8080" w:type="dxa"/>
          </w:tcPr>
          <w:p w:rsidR="005E0878" w:rsidRDefault="005E0878" w:rsidP="008D3F3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1/ تقتنع بأهمية تطبيق </w:t>
            </w:r>
            <w:r w:rsidR="008D3F38">
              <w:rPr>
                <w:rFonts w:cs="AL-Mohanad Bold" w:hint="cs"/>
                <w:sz w:val="32"/>
                <w:szCs w:val="32"/>
                <w:rtl/>
              </w:rPr>
              <w:t>ف</w:t>
            </w:r>
            <w:r>
              <w:rPr>
                <w:rFonts w:cs="AL-Mohanad Bold" w:hint="cs"/>
                <w:sz w:val="32"/>
                <w:szCs w:val="32"/>
                <w:rtl/>
              </w:rPr>
              <w:t>ن التعامل مع الأخرين في حياتها اليومية.</w:t>
            </w:r>
          </w:p>
          <w:p w:rsidR="005E0878" w:rsidRDefault="005E0878" w:rsidP="008D3F3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2/ تُحسن رعاية </w:t>
            </w:r>
            <w:r w:rsidR="008D3F38">
              <w:rPr>
                <w:rFonts w:cs="AL-Mohanad Bold" w:hint="cs"/>
                <w:sz w:val="32"/>
                <w:szCs w:val="32"/>
                <w:rtl/>
              </w:rPr>
              <w:t>إخو</w:t>
            </w:r>
            <w:r>
              <w:rPr>
                <w:rFonts w:cs="AL-Mohanad Bold" w:hint="cs"/>
                <w:sz w:val="32"/>
                <w:szCs w:val="32"/>
                <w:rtl/>
              </w:rPr>
              <w:t>تها الصغار.</w:t>
            </w:r>
          </w:p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 تقترح أساليب تساعدها على الاندماج مع المجتمع.</w:t>
            </w:r>
          </w:p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تُفرق بين الصداقة والزمالة.</w:t>
            </w:r>
          </w:p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 تُوضح أسس اختيار الصديقة.</w:t>
            </w:r>
          </w:p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 تستنتج كيفية تنظيم جدول أعمالها اليومية.</w:t>
            </w:r>
          </w:p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7/ تبتكر أعمالاً فنية للاستفادة من وقت فراغها.  </w:t>
            </w:r>
          </w:p>
        </w:tc>
      </w:tr>
      <w:tr w:rsidR="005E0878" w:rsidRPr="005E0878" w:rsidTr="005E0878">
        <w:tc>
          <w:tcPr>
            <w:tcW w:w="2552" w:type="dxa"/>
          </w:tcPr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وحدة شؤون منزلية</w:t>
            </w:r>
          </w:p>
        </w:tc>
        <w:tc>
          <w:tcPr>
            <w:tcW w:w="8080" w:type="dxa"/>
          </w:tcPr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 تُعرف مفهوم الإدارة المنزلية.</w:t>
            </w:r>
          </w:p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 تُميز بين مصادر الدخل المختلفة.</w:t>
            </w:r>
          </w:p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3/تقترح بعض الأعمال التي تساهم فيها داخل المنزل.</w:t>
            </w:r>
          </w:p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تُناقش أساسيات إعداد المائدة.</w:t>
            </w:r>
          </w:p>
          <w:p w:rsidR="005E0878" w:rsidRDefault="005E087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5/ تبتكر أساسيات المجملات </w:t>
            </w:r>
            <w:r w:rsidR="008D2F5A">
              <w:rPr>
                <w:rFonts w:cs="AL-Mohanad Bold" w:hint="cs"/>
                <w:sz w:val="32"/>
                <w:szCs w:val="32"/>
                <w:rtl/>
              </w:rPr>
              <w:t>المائدة.</w:t>
            </w:r>
          </w:p>
          <w:p w:rsidR="008D2F5A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6/تستنتج آداب الأكل.</w:t>
            </w:r>
          </w:p>
          <w:p w:rsidR="008D2F5A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7/تعمل طيات مختلفة للمناديل.</w:t>
            </w:r>
          </w:p>
        </w:tc>
      </w:tr>
      <w:tr w:rsidR="008D2F5A" w:rsidRPr="005E0878" w:rsidTr="005E0878">
        <w:tc>
          <w:tcPr>
            <w:tcW w:w="2552" w:type="dxa"/>
          </w:tcPr>
          <w:p w:rsidR="008D2F5A" w:rsidRDefault="008D3F38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وحدة التوعية الصحية </w:t>
            </w:r>
            <w:bookmarkStart w:id="0" w:name="_GoBack"/>
            <w:bookmarkEnd w:id="0"/>
          </w:p>
        </w:tc>
        <w:tc>
          <w:tcPr>
            <w:tcW w:w="8080" w:type="dxa"/>
          </w:tcPr>
          <w:p w:rsidR="008D2F5A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 تتعرف على بعض التغيرات التي تطرأ على المراهقة.</w:t>
            </w:r>
          </w:p>
          <w:p w:rsidR="008D2F5A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 تعي أهمية المحافظة على النظافة.</w:t>
            </w:r>
          </w:p>
          <w:p w:rsidR="008D2F5A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 تُميز بين التغذية السليمة والخاطئة للمراهقة .</w:t>
            </w:r>
          </w:p>
          <w:p w:rsidR="008D2F5A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 تُناقش النتائج المرتبة عن سوء التغذية.</w:t>
            </w:r>
          </w:p>
          <w:p w:rsidR="008D2F5A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 تخطط وجبات غذائية تناسب بعض الحالات الصحية.</w:t>
            </w:r>
          </w:p>
          <w:p w:rsidR="008D2F5A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6/تُطبق بعض الطرق المقترحة للعناية بالبشرة.</w:t>
            </w:r>
          </w:p>
          <w:p w:rsidR="008D2F5A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7/ تُنفذ بعض طرق العناية باليدين والقدمين. </w:t>
            </w:r>
          </w:p>
        </w:tc>
      </w:tr>
    </w:tbl>
    <w:p w:rsid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jc w:val="center"/>
        <w:rPr>
          <w:rFonts w:cs="AL-Mohanad Bold"/>
          <w:sz w:val="40"/>
          <w:szCs w:val="40"/>
        </w:rPr>
      </w:pPr>
      <w:r>
        <w:rPr>
          <w:rFonts w:cs="AL-Mohanad Bold" w:hint="cs"/>
          <w:sz w:val="40"/>
          <w:szCs w:val="40"/>
          <w:rtl/>
        </w:rPr>
        <w:lastRenderedPageBreak/>
        <w:t>ثاني متوسط الفصل الدراسي الأول مادة التربية الأسرية</w:t>
      </w:r>
    </w:p>
    <w:p w:rsidR="00941258" w:rsidRDefault="00941258" w:rsidP="00941258">
      <w:pPr>
        <w:spacing w:line="240" w:lineRule="auto"/>
        <w:ind w:left="-1192" w:right="-1134"/>
        <w:jc w:val="center"/>
        <w:rPr>
          <w:rFonts w:cs="AL-Mohanad Bold" w:hint="cs"/>
          <w:sz w:val="2"/>
          <w:szCs w:val="2"/>
          <w:rtl/>
        </w:rPr>
      </w:pPr>
    </w:p>
    <w:tbl>
      <w:tblPr>
        <w:tblStyle w:val="TableGrid"/>
        <w:bidiVisual/>
        <w:tblW w:w="10632" w:type="dxa"/>
        <w:tblInd w:w="-1084" w:type="dxa"/>
        <w:tblLook w:val="04A0"/>
      </w:tblPr>
      <w:tblGrid>
        <w:gridCol w:w="2552"/>
        <w:gridCol w:w="8080"/>
      </w:tblGrid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41258" w:rsidRDefault="00941258">
            <w:pPr>
              <w:ind w:right="-1134"/>
              <w:rPr>
                <w:rFonts w:cs="AL-Mohanad Bold"/>
                <w:sz w:val="36"/>
                <w:szCs w:val="36"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41258" w:rsidRDefault="00941258">
            <w:pPr>
              <w:ind w:right="-1134"/>
              <w:jc w:val="center"/>
              <w:rPr>
                <w:rFonts w:cs="AL-Mohanad Bold"/>
                <w:sz w:val="36"/>
                <w:szCs w:val="36"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وحدة مهارات اجتماعية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 تُبدي رأيها في مواصفات الشخصية المثالية.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2/تتبنى موقفاً إيجابياً تجاه صفات الشخصية المثالية.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3/تُقدم بعض النصائح التي تفرز الثقة بالنفس.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4/تُقارن بين الثقة الزائفة بالنفس والثقة الحقيقية.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5/تتبع الخطوات الصحيحة لاتخاذ قرار في مشكلة مطروحة.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6/تُبدع في إلقاء كلمة أمام زميلاتها متبعة خطوات الإلقاء الجيد.</w:t>
            </w:r>
          </w:p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7/تُقيم صفاتها من خلال الشخصية الناجحة. </w:t>
            </w:r>
          </w:p>
        </w:tc>
      </w:tr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وحدة شؤون منزلية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 تُلخص الأمور الواجب مراعاتها عند شراء الأجهزة المنزلية.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 تُفرق بين الأجهزة المنزلية من حيث طرق العناية بها.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 تُحسن التعامل مع الأجهزة المنزلية.</w:t>
            </w:r>
          </w:p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4/تعتاد الترشيد في حياتها عند استخدام الماء والكهرباء.</w:t>
            </w:r>
          </w:p>
        </w:tc>
      </w:tr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وحدة عناية ملبسية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1/تربط بين الرموز ومعانيها في البطاقة الإرشادية.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2/تتبع الطريقة الصحيحة للعناية بالملابس من خلال ما تعلمته من محتويات 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البطاقة الإرشادية.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3/تقترح بعض الأفكار لتجميل القطع الملبسية.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4/تتمكن من رسم وحدة تصميم بنائي لتجميل القطعة الملبسية.</w:t>
            </w:r>
          </w:p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5/تطبق استخدام التطريز بالشرائط على إحدى القطع الملبسية.</w:t>
            </w:r>
          </w:p>
        </w:tc>
      </w:tr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وحدة غذاء وتغذية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1/تقارن بين البروتين الحيواني والنباتي.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 تُوظف ما تعلمته عن البروتين في تكوين وجبات كاملة.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أهمية عمل الشطائر في المنزل.</w:t>
            </w:r>
          </w:p>
          <w:p w:rsidR="00941258" w:rsidRDefault="00941258">
            <w:pPr>
              <w:ind w:right="-1134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4/تُنفذ عملياً طهو بعض الأصناف من الأطعمة.</w:t>
            </w:r>
          </w:p>
          <w:p w:rsidR="00941258" w:rsidRDefault="00941258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5/تُقدم شطائر بطرق مبتكرة.</w:t>
            </w:r>
          </w:p>
        </w:tc>
      </w:tr>
    </w:tbl>
    <w:p w:rsidR="00941258" w:rsidRDefault="00941258" w:rsidP="00941258">
      <w:pPr>
        <w:spacing w:line="240" w:lineRule="auto"/>
        <w:ind w:left="-1192" w:right="-1134"/>
        <w:rPr>
          <w:rFonts w:cs="AL-Mohanad Bold" w:hint="cs"/>
          <w:sz w:val="32"/>
          <w:szCs w:val="32"/>
          <w:rtl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941258">
      <w:pPr>
        <w:spacing w:line="240" w:lineRule="auto"/>
        <w:ind w:left="-1192" w:right="-1134"/>
        <w:jc w:val="center"/>
        <w:rPr>
          <w:rFonts w:cs="AL-Mohanad Bold"/>
          <w:sz w:val="40"/>
          <w:szCs w:val="40"/>
        </w:rPr>
      </w:pPr>
      <w:r>
        <w:rPr>
          <w:rFonts w:cs="AL-Mohanad Bold" w:hint="cs"/>
          <w:sz w:val="40"/>
          <w:szCs w:val="40"/>
          <w:rtl/>
        </w:rPr>
        <w:lastRenderedPageBreak/>
        <w:t>ثالث متوسط الفصل الدراسي الأول مادة التربية الأسرية</w:t>
      </w:r>
    </w:p>
    <w:p w:rsidR="00941258" w:rsidRDefault="00941258" w:rsidP="00941258">
      <w:pPr>
        <w:spacing w:line="240" w:lineRule="auto"/>
        <w:ind w:left="-1192" w:right="-1134"/>
        <w:jc w:val="center"/>
        <w:rPr>
          <w:rFonts w:cs="AL-Mohanad Bold"/>
          <w:sz w:val="2"/>
          <w:szCs w:val="2"/>
        </w:rPr>
      </w:pPr>
    </w:p>
    <w:tbl>
      <w:tblPr>
        <w:tblStyle w:val="TableGrid"/>
        <w:bidiVisual/>
        <w:tblW w:w="10632" w:type="dxa"/>
        <w:tblInd w:w="-1084" w:type="dxa"/>
        <w:tblLook w:val="04A0"/>
      </w:tblPr>
      <w:tblGrid>
        <w:gridCol w:w="2552"/>
        <w:gridCol w:w="8080"/>
      </w:tblGrid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41258" w:rsidRDefault="00941258">
            <w:pPr>
              <w:ind w:right="-1134"/>
              <w:rPr>
                <w:rFonts w:cs="AL-Mohanad Bold"/>
                <w:sz w:val="36"/>
                <w:szCs w:val="36"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41258" w:rsidRDefault="00941258">
            <w:pPr>
              <w:ind w:right="-1134"/>
              <w:jc w:val="center"/>
              <w:rPr>
                <w:rFonts w:cs="AL-Mohanad Bold"/>
                <w:sz w:val="36"/>
                <w:szCs w:val="36"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وحدة مهارات اجتماعية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1/تُقيم مدى فاعليتها في المنزل .</w:t>
            </w:r>
          </w:p>
          <w:p w:rsidR="00941258" w:rsidRDefault="00941258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2/تلخص أهم مساهماتهاالمنزلية.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3/تقارن بين مزايا الاجتماعات الدورية وعيوبها.</w:t>
            </w:r>
          </w:p>
          <w:p w:rsidR="00941258" w:rsidRDefault="00941258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4/تقترح بعض الأفكار لهدايا بسيطة  تقدم في المناسبات الخاصة.</w:t>
            </w:r>
          </w:p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5/تطبق الطريقة الصحيحة للتحدث في الصف مع معلمتها وزميلاتها.</w:t>
            </w:r>
          </w:p>
        </w:tc>
      </w:tr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وحدة شؤون منزلية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1/تُوزع الدخل على أبواب الإنفاق حسب الأولوية.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 تستنتج خطوات إعداد المنزلية.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3/تقترح المصادر التي يمكن بها دفع دخل الأسرة.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4/تلخص أسباب قراءة المعلومات الغذائية على الأطعمة.</w:t>
            </w:r>
          </w:p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5/تدرك الفرق بين الدعاية والإعلان.</w:t>
            </w:r>
          </w:p>
        </w:tc>
      </w:tr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وحدة عناية ملبسية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1/تقترح طرقاً لتلافي بعض مشكلات الغسيل .</w:t>
            </w:r>
          </w:p>
          <w:p w:rsidR="00941258" w:rsidRDefault="00941258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2/تعطي أمثلة لمسببات البقع الناتجة من الغسيل الخاطئ للملابس.</w:t>
            </w:r>
          </w:p>
          <w:p w:rsidR="00941258" w:rsidRDefault="00941258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3/تطبق خطوات إزالة البقعة من القطعة الملبسية.</w:t>
            </w:r>
          </w:p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 تنفيذ بعض غرز الكروشيه على عينة.</w:t>
            </w:r>
          </w:p>
        </w:tc>
      </w:tr>
      <w:tr w:rsidR="00941258" w:rsidTr="0094125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وحدة الغذاء والتغذية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1/تبين فوائد حفظ الأطعمة.</w:t>
            </w:r>
          </w:p>
          <w:p w:rsidR="00941258" w:rsidRDefault="00941258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2/تستفيد من التقنيات الحديثة لحفظ الأطعمة.</w:t>
            </w:r>
          </w:p>
          <w:p w:rsidR="00941258" w:rsidRDefault="00941258">
            <w:pPr>
              <w:ind w:right="-1134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3/تقدم اصنافاً غذائية من البيئة السعودية تحوي على دقيق القمح.</w:t>
            </w:r>
          </w:p>
        </w:tc>
      </w:tr>
    </w:tbl>
    <w:p w:rsidR="00941258" w:rsidRDefault="00941258" w:rsidP="00941258">
      <w:pPr>
        <w:spacing w:line="240" w:lineRule="auto"/>
        <w:ind w:left="-1192" w:right="-1134"/>
        <w:rPr>
          <w:rFonts w:cs="AL-Mohanad Bold" w:hint="cs"/>
          <w:sz w:val="32"/>
          <w:szCs w:val="32"/>
          <w:rtl/>
        </w:rPr>
      </w:pPr>
    </w:p>
    <w:p w:rsidR="00941258" w:rsidRDefault="00941258" w:rsidP="00941258">
      <w:pPr>
        <w:spacing w:line="240" w:lineRule="auto"/>
        <w:ind w:left="-1192" w:right="-1134"/>
        <w:rPr>
          <w:rFonts w:cs="AL-Mohanad Bold" w:hint="cs"/>
          <w:sz w:val="32"/>
          <w:szCs w:val="32"/>
          <w:rtl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</w:rPr>
      </w:pPr>
    </w:p>
    <w:p w:rsidR="00941258" w:rsidRPr="005E0878" w:rsidRDefault="0094125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941258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00A6"/>
    <w:rsid w:val="00001726"/>
    <w:rsid w:val="00017131"/>
    <w:rsid w:val="000440BD"/>
    <w:rsid w:val="000A57B6"/>
    <w:rsid w:val="000C57FB"/>
    <w:rsid w:val="000C71ED"/>
    <w:rsid w:val="001046F2"/>
    <w:rsid w:val="00116124"/>
    <w:rsid w:val="00126AEA"/>
    <w:rsid w:val="00141E22"/>
    <w:rsid w:val="00147A22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A31C3"/>
    <w:rsid w:val="003F5486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8000A6"/>
    <w:rsid w:val="00873FD4"/>
    <w:rsid w:val="008D2F5A"/>
    <w:rsid w:val="008D3793"/>
    <w:rsid w:val="008D3F38"/>
    <w:rsid w:val="00937474"/>
    <w:rsid w:val="00941258"/>
    <w:rsid w:val="00B678C6"/>
    <w:rsid w:val="00B81626"/>
    <w:rsid w:val="00C631E1"/>
    <w:rsid w:val="00CC613A"/>
    <w:rsid w:val="00D42C70"/>
    <w:rsid w:val="00D937F8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1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HDNLRG1077</cp:lastModifiedBy>
  <cp:revision>44</cp:revision>
  <dcterms:created xsi:type="dcterms:W3CDTF">2017-11-14T05:56:00Z</dcterms:created>
  <dcterms:modified xsi:type="dcterms:W3CDTF">2019-10-31T21:11:00Z</dcterms:modified>
</cp:coreProperties>
</file>